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70" w:rsidRPr="00FF013C" w:rsidRDefault="006C4770" w:rsidP="006C47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F013C">
        <w:rPr>
          <w:rFonts w:ascii="Times New Roman" w:hAnsi="Times New Roman" w:cs="Times New Roman"/>
          <w:b/>
          <w:sz w:val="24"/>
          <w:szCs w:val="24"/>
        </w:rPr>
        <w:t>Опыт Воронежской области по развитию и внедрению онлайн-сервисов в сфере градостроительства</w:t>
      </w:r>
    </w:p>
    <w:bookmarkEnd w:id="0"/>
    <w:p w:rsidR="006C4770" w:rsidRPr="00FF013C" w:rsidRDefault="006C4770" w:rsidP="006C4770">
      <w:pPr>
        <w:rPr>
          <w:rFonts w:ascii="Times New Roman" w:hAnsi="Times New Roman" w:cs="Times New Roman"/>
          <w:sz w:val="24"/>
          <w:szCs w:val="24"/>
        </w:rPr>
      </w:pPr>
      <w:r w:rsidRPr="00FF013C">
        <w:rPr>
          <w:rFonts w:ascii="Times New Roman" w:hAnsi="Times New Roman" w:cs="Times New Roman"/>
          <w:sz w:val="24"/>
          <w:szCs w:val="24"/>
        </w:rPr>
        <w:t>С докладом по вопросу «Опыт Воронежской области по развитию и внедрению онлайн-сервисов в сфере градостроительства» выступили сотрудники Управления архитектуры и градостроительства Воронежской области на площадке Агентства стратегических инициатив «Точка кипения», как представители региона - носителя лучших практик.</w:t>
      </w:r>
    </w:p>
    <w:p w:rsidR="006C4770" w:rsidRPr="00FF013C" w:rsidRDefault="006C4770" w:rsidP="006C4770">
      <w:pPr>
        <w:rPr>
          <w:rFonts w:ascii="Times New Roman" w:hAnsi="Times New Roman" w:cs="Times New Roman"/>
          <w:sz w:val="24"/>
          <w:szCs w:val="24"/>
        </w:rPr>
      </w:pPr>
      <w:r w:rsidRPr="00FF013C">
        <w:rPr>
          <w:rFonts w:ascii="Times New Roman" w:hAnsi="Times New Roman" w:cs="Times New Roman"/>
          <w:sz w:val="24"/>
          <w:szCs w:val="24"/>
        </w:rPr>
        <w:t>Мероприятия семинара-совещания были посвящены целевой модели «Получение разрешения на строительство и территориальное планирование» и в них приняли участие более 170 человек из всех регионов, осуществляющих ее внедрение.</w:t>
      </w:r>
    </w:p>
    <w:p w:rsidR="006C4770" w:rsidRPr="00FF013C" w:rsidRDefault="006C4770" w:rsidP="006C4770">
      <w:pPr>
        <w:pStyle w:val="a4"/>
        <w:spacing w:line="299" w:lineRule="atLeast"/>
        <w:rPr>
          <w:color w:val="231F20"/>
        </w:rPr>
      </w:pPr>
      <w:r w:rsidRPr="00FF013C">
        <w:rPr>
          <w:rStyle w:val="a3"/>
          <w:color w:val="231F20"/>
        </w:rPr>
        <w:t>Минстроем отмечена и одобрена практика Воронежской области по созданию и развитию онлайн-сервисов</w:t>
      </w:r>
      <w:r w:rsidRPr="00FF013C">
        <w:rPr>
          <w:color w:val="231F20"/>
        </w:rPr>
        <w:t>, таких как:</w:t>
      </w:r>
    </w:p>
    <w:p w:rsidR="006C4770" w:rsidRPr="00FF013C" w:rsidRDefault="006C4770" w:rsidP="006C4770">
      <w:pPr>
        <w:pStyle w:val="a4"/>
        <w:spacing w:line="299" w:lineRule="atLeast"/>
        <w:rPr>
          <w:color w:val="231F20"/>
        </w:rPr>
      </w:pPr>
      <w:r w:rsidRPr="00FF013C">
        <w:rPr>
          <w:color w:val="231F20"/>
        </w:rPr>
        <w:t>- </w:t>
      </w:r>
      <w:r w:rsidRPr="00FF013C">
        <w:rPr>
          <w:rStyle w:val="a3"/>
          <w:color w:val="231F20"/>
        </w:rPr>
        <w:t>информационная система обеспечения градостроительной деятельности</w:t>
      </w:r>
      <w:r w:rsidRPr="00FF013C">
        <w:rPr>
          <w:color w:val="231F20"/>
        </w:rPr>
        <w:t> – стартовавшая в 2010 году и ставшая первым опытом создания в Российской Федерации интерактивного ресурса в данной сфере;</w:t>
      </w:r>
    </w:p>
    <w:p w:rsidR="006C4770" w:rsidRPr="00FF013C" w:rsidRDefault="006C4770" w:rsidP="006C4770">
      <w:pPr>
        <w:pStyle w:val="a4"/>
        <w:spacing w:line="299" w:lineRule="atLeast"/>
        <w:rPr>
          <w:color w:val="231F20"/>
        </w:rPr>
      </w:pPr>
      <w:r w:rsidRPr="00FF013C">
        <w:rPr>
          <w:color w:val="231F20"/>
        </w:rPr>
        <w:t>-</w:t>
      </w:r>
      <w:hyperlink r:id="rId4" w:history="1">
        <w:r w:rsidRPr="00FF013C">
          <w:rPr>
            <w:rStyle w:val="a5"/>
            <w:color w:val="00A651"/>
          </w:rPr>
          <w:t>программный продукт «Калькулятор строительных процедур»</w:t>
        </w:r>
      </w:hyperlink>
      <w:r w:rsidRPr="00FF013C">
        <w:rPr>
          <w:color w:val="231F20"/>
        </w:rPr>
        <w:t>, внедряемый в городе Воронеже;</w:t>
      </w:r>
    </w:p>
    <w:p w:rsidR="006C4770" w:rsidRPr="00FF013C" w:rsidRDefault="006C4770" w:rsidP="006C4770">
      <w:pPr>
        <w:pStyle w:val="a4"/>
        <w:spacing w:line="299" w:lineRule="atLeast"/>
        <w:rPr>
          <w:color w:val="231F20"/>
        </w:rPr>
      </w:pPr>
      <w:r w:rsidRPr="00FF013C">
        <w:rPr>
          <w:color w:val="231F20"/>
        </w:rPr>
        <w:t>- «Контактный центр» по вопросам предоставления государственных и муниципальных услуг, в том числе в электронной форме – </w:t>
      </w:r>
      <w:r w:rsidRPr="00FF013C">
        <w:rPr>
          <w:rStyle w:val="a3"/>
          <w:color w:val="231F20"/>
        </w:rPr>
        <w:t>Центр телефонного обслуживания АУ «МФЦ»</w:t>
      </w:r>
      <w:r w:rsidRPr="00FF013C">
        <w:rPr>
          <w:color w:val="231F20"/>
        </w:rPr>
        <w:t> (473 226-99-99);</w:t>
      </w:r>
    </w:p>
    <w:p w:rsidR="006C4770" w:rsidRPr="00FF013C" w:rsidRDefault="006C4770" w:rsidP="006C4770">
      <w:pPr>
        <w:pStyle w:val="a4"/>
        <w:spacing w:line="299" w:lineRule="atLeast"/>
        <w:rPr>
          <w:color w:val="231F20"/>
        </w:rPr>
      </w:pPr>
      <w:r w:rsidRPr="00FF013C">
        <w:rPr>
          <w:color w:val="231F20"/>
        </w:rPr>
        <w:t>- </w:t>
      </w:r>
      <w:hyperlink r:id="rId5" w:history="1">
        <w:r w:rsidRPr="00FF013C">
          <w:rPr>
            <w:rStyle w:val="a5"/>
            <w:b/>
            <w:bCs/>
            <w:color w:val="00A651"/>
          </w:rPr>
          <w:t>5 типовых «дорожных карт»</w:t>
        </w:r>
      </w:hyperlink>
      <w:r w:rsidRPr="00FF013C">
        <w:rPr>
          <w:color w:val="231F20"/>
        </w:rPr>
        <w:t> с предельными сроками прохождения административных процедур при осуществлении строительства, разработанные для застройщиков;</w:t>
      </w:r>
    </w:p>
    <w:p w:rsidR="006C4770" w:rsidRPr="00FF013C" w:rsidRDefault="006C4770" w:rsidP="006C4770">
      <w:pPr>
        <w:pStyle w:val="a4"/>
        <w:spacing w:line="299" w:lineRule="atLeast"/>
        <w:rPr>
          <w:color w:val="231F20"/>
        </w:rPr>
      </w:pPr>
      <w:r w:rsidRPr="00FF013C">
        <w:rPr>
          <w:color w:val="231F20"/>
        </w:rPr>
        <w:t>- обучающий </w:t>
      </w:r>
      <w:hyperlink r:id="rId6" w:history="1">
        <w:proofErr w:type="gramStart"/>
        <w:r w:rsidRPr="00FF013C">
          <w:rPr>
            <w:rStyle w:val="a5"/>
            <w:color w:val="00A651"/>
          </w:rPr>
          <w:t>видео-ролик</w:t>
        </w:r>
        <w:proofErr w:type="gramEnd"/>
        <w:r w:rsidRPr="00FF013C">
          <w:rPr>
            <w:rStyle w:val="a5"/>
            <w:color w:val="00A651"/>
          </w:rPr>
          <w:t xml:space="preserve"> «Ликбез»</w:t>
        </w:r>
      </w:hyperlink>
      <w:r w:rsidRPr="00FF013C">
        <w:rPr>
          <w:color w:val="231F20"/>
        </w:rPr>
        <w:t> от управления архитектуры и градостроительства Воронежской области.</w:t>
      </w:r>
    </w:p>
    <w:p w:rsidR="006C4770" w:rsidRDefault="006C4770" w:rsidP="006C4770">
      <w:pPr>
        <w:pStyle w:val="a4"/>
        <w:spacing w:line="299" w:lineRule="atLeast"/>
        <w:rPr>
          <w:color w:val="231F20"/>
        </w:rPr>
      </w:pPr>
      <w:r w:rsidRPr="00FF013C">
        <w:rPr>
          <w:color w:val="231F20"/>
        </w:rPr>
        <w:t xml:space="preserve">Помимо этого, наши представители наглядно и подробно остановились на методах популяризации предоставления услуг в электронной форме, </w:t>
      </w:r>
      <w:proofErr w:type="spellStart"/>
      <w:r w:rsidRPr="00FF013C">
        <w:rPr>
          <w:color w:val="231F20"/>
        </w:rPr>
        <w:t>использунемых</w:t>
      </w:r>
      <w:proofErr w:type="spellEnd"/>
      <w:r w:rsidRPr="00FF013C">
        <w:rPr>
          <w:color w:val="231F20"/>
        </w:rPr>
        <w:t xml:space="preserve"> органами власти, на организации взаимодействия с застройщиками, а также на проблемах, возникающих при получении услуг в электронной форме и методах их решения.</w:t>
      </w:r>
    </w:p>
    <w:p w:rsidR="006C4770" w:rsidRPr="00FF013C" w:rsidRDefault="006C4770" w:rsidP="006C4770">
      <w:pPr>
        <w:pStyle w:val="a4"/>
        <w:spacing w:line="299" w:lineRule="atLeast"/>
        <w:rPr>
          <w:color w:val="231F20"/>
        </w:rPr>
      </w:pPr>
      <w:r>
        <w:rPr>
          <w:color w:val="231F20"/>
        </w:rPr>
        <w:t xml:space="preserve">Подробнее на сайте </w:t>
      </w:r>
      <w:hyperlink r:id="rId7" w:history="1">
        <w:r w:rsidRPr="003E04DF">
          <w:rPr>
            <w:rStyle w:val="a5"/>
          </w:rPr>
          <w:t>Управления архитектуры и градостроительства Воронежской области</w:t>
        </w:r>
      </w:hyperlink>
      <w:r>
        <w:rPr>
          <w:color w:val="231F20"/>
        </w:rPr>
        <w:t xml:space="preserve"> </w:t>
      </w:r>
      <w:r w:rsidRPr="00427EB6">
        <w:t xml:space="preserve"> </w:t>
      </w:r>
    </w:p>
    <w:p w:rsidR="00E1451F" w:rsidRDefault="00E1451F"/>
    <w:sectPr w:rsidR="00E1451F" w:rsidSect="00E1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770"/>
    <w:rsid w:val="00111189"/>
    <w:rsid w:val="001F066A"/>
    <w:rsid w:val="003E04DF"/>
    <w:rsid w:val="00517DE4"/>
    <w:rsid w:val="006C4770"/>
    <w:rsid w:val="00E1451F"/>
    <w:rsid w:val="00E1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4770"/>
    <w:rPr>
      <w:b/>
      <w:bCs/>
    </w:rPr>
  </w:style>
  <w:style w:type="paragraph" w:styleId="a4">
    <w:name w:val="Normal (Web)"/>
    <w:basedOn w:val="a"/>
    <w:uiPriority w:val="99"/>
    <w:semiHidden/>
    <w:unhideWhenUsed/>
    <w:rsid w:val="006C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47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aig.ru/article/380-doklad-na-seminare-soveschanii-v-agentstve-strategicheskih-initsiat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aig.ru/article/221-likbez-ot-upravleniya-arhitektury-i-gradostroitelstva" TargetMode="External"/><Relationship Id="rId5" Type="http://schemas.openxmlformats.org/officeDocument/2006/relationships/hyperlink" Target="http://uga.voronezh-city.ru/legal/maps/" TargetMode="External"/><Relationship Id="rId4" Type="http://schemas.openxmlformats.org/officeDocument/2006/relationships/hyperlink" Target="http://calc36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4</DocSecurity>
  <Lines>15</Lines>
  <Paragraphs>4</Paragraphs>
  <ScaleCrop>false</ScaleCrop>
  <Company>Reanimator Extreme Edition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Ivan.panin</cp:lastModifiedBy>
  <cp:revision>2</cp:revision>
  <dcterms:created xsi:type="dcterms:W3CDTF">2017-09-25T12:49:00Z</dcterms:created>
  <dcterms:modified xsi:type="dcterms:W3CDTF">2017-09-25T12:49:00Z</dcterms:modified>
</cp:coreProperties>
</file>